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DC2A7B" w:rsidRPr="007B7D99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7B7D99">
        <w:rPr>
          <w:rFonts w:ascii="Times New Roman" w:eastAsia="Calibri" w:hAnsi="Times New Roman" w:cs="Times New Roman"/>
          <w:b/>
        </w:rPr>
        <w:t xml:space="preserve">Nr </w:t>
      </w:r>
      <w:r w:rsidR="00A80F2F">
        <w:rPr>
          <w:rFonts w:ascii="Times New Roman" w:eastAsia="Calibri" w:hAnsi="Times New Roman" w:cs="Times New Roman"/>
          <w:b/>
        </w:rPr>
        <w:t>2b</w:t>
      </w:r>
      <w:r w:rsidRPr="007B7D99">
        <w:rPr>
          <w:rFonts w:ascii="Times New Roman" w:eastAsia="Calibri" w:hAnsi="Times New Roman" w:cs="Times New Roman"/>
          <w:b/>
        </w:rPr>
        <w:t>/2017</w:t>
      </w:r>
      <w:r w:rsidR="00A80F2F">
        <w:rPr>
          <w:rFonts w:ascii="Times New Roman" w:eastAsia="Calibri" w:hAnsi="Times New Roman" w:cs="Times New Roman"/>
          <w:b/>
        </w:rPr>
        <w:t>/Maluch</w:t>
      </w:r>
    </w:p>
    <w:p w:rsidR="00DC2A7B" w:rsidRPr="007B7D99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7B7D99">
        <w:rPr>
          <w:rFonts w:ascii="Times New Roman" w:eastAsia="Calibri" w:hAnsi="Times New Roman" w:cs="Times New Roman"/>
          <w:b/>
        </w:rPr>
        <w:t xml:space="preserve">z dnia </w:t>
      </w:r>
      <w:r w:rsidR="00A80F2F">
        <w:rPr>
          <w:rFonts w:ascii="Times New Roman" w:eastAsia="Calibri" w:hAnsi="Times New Roman" w:cs="Times New Roman"/>
          <w:b/>
        </w:rPr>
        <w:t>11.</w:t>
      </w:r>
      <w:r w:rsidR="002A51E3" w:rsidRPr="007B7D99">
        <w:rPr>
          <w:rFonts w:ascii="Times New Roman" w:eastAsia="Calibri" w:hAnsi="Times New Roman" w:cs="Times New Roman"/>
          <w:b/>
        </w:rPr>
        <w:t>0</w:t>
      </w:r>
      <w:r w:rsidR="00A80F2F">
        <w:rPr>
          <w:rFonts w:ascii="Times New Roman" w:eastAsia="Calibri" w:hAnsi="Times New Roman" w:cs="Times New Roman"/>
          <w:b/>
        </w:rPr>
        <w:t>9</w:t>
      </w:r>
      <w:r w:rsidRPr="007B7D99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DC2A7B" w:rsidRPr="00C32697" w:rsidRDefault="005754E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  <w:r w:rsidR="00A80F2F">
        <w:rPr>
          <w:rFonts w:ascii="Times New Roman" w:hAnsi="Times New Roman" w:cs="Times New Roman"/>
          <w:b/>
        </w:rPr>
        <w:t xml:space="preserve"> niwelacja terenu 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0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A80F2F">
        <w:rPr>
          <w:rFonts w:ascii="Times New Roman" w:eastAsia="Calibri" w:hAnsi="Times New Roman" w:cs="Times New Roman"/>
          <w:b/>
        </w:rPr>
        <w:t>11.</w:t>
      </w:r>
      <w:r w:rsidR="002A51E3" w:rsidRPr="007B7D99">
        <w:rPr>
          <w:rFonts w:ascii="Times New Roman" w:eastAsia="Calibri" w:hAnsi="Times New Roman" w:cs="Times New Roman"/>
          <w:b/>
        </w:rPr>
        <w:t>0</w:t>
      </w:r>
      <w:r w:rsidR="00A80F2F">
        <w:rPr>
          <w:rFonts w:ascii="Times New Roman" w:eastAsia="Calibri" w:hAnsi="Times New Roman" w:cs="Times New Roman"/>
          <w:b/>
        </w:rPr>
        <w:t>9</w:t>
      </w:r>
      <w:r w:rsidR="00BD7AF8" w:rsidRPr="007B7D99">
        <w:rPr>
          <w:rFonts w:ascii="Times New Roman" w:eastAsia="Calibri" w:hAnsi="Times New Roman" w:cs="Times New Roman"/>
          <w:b/>
        </w:rPr>
        <w:t>.</w:t>
      </w:r>
      <w:r w:rsidR="005754EB" w:rsidRPr="007B7D99">
        <w:rPr>
          <w:rFonts w:ascii="Times New Roman" w:eastAsia="Calibri" w:hAnsi="Times New Roman" w:cs="Times New Roman"/>
          <w:b/>
        </w:rPr>
        <w:t>2017</w:t>
      </w:r>
      <w:r w:rsidRPr="007B7D99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BD7AF8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</w:t>
      </w:r>
      <w:r w:rsidRPr="00BD7AF8">
        <w:rPr>
          <w:rFonts w:ascii="Times New Roman" w:eastAsia="Calibri" w:hAnsi="Times New Roman" w:cs="Times New Roman"/>
          <w:b/>
        </w:rPr>
        <w:t>rzedmiot zamówienia.</w:t>
      </w:r>
    </w:p>
    <w:p w:rsidR="00DC2A7B" w:rsidRPr="00C7634F" w:rsidRDefault="00DC2A7B" w:rsidP="003543A9">
      <w:pPr>
        <w:rPr>
          <w:rFonts w:ascii="Times New Roman" w:hAnsi="Times New Roman" w:cs="Times New Roman"/>
          <w:vertAlign w:val="superscript"/>
        </w:rPr>
      </w:pPr>
      <w:r w:rsidRPr="00C7634F">
        <w:rPr>
          <w:rFonts w:ascii="Times New Roman" w:eastAsia="Calibri" w:hAnsi="Times New Roman" w:cs="Times New Roman"/>
          <w:b/>
        </w:rPr>
        <w:t xml:space="preserve">4.1. Przedmiotem zamówienia jest wykonanie </w:t>
      </w:r>
      <w:r w:rsidR="00A80F2F" w:rsidRPr="00C7634F">
        <w:rPr>
          <w:rFonts w:ascii="Times New Roman" w:hAnsi="Times New Roman" w:cs="Times New Roman"/>
          <w:b/>
        </w:rPr>
        <w:t xml:space="preserve">niwelacji terenu </w:t>
      </w:r>
      <w:r w:rsidR="002A51E3" w:rsidRPr="00C7634F">
        <w:rPr>
          <w:rFonts w:ascii="Times New Roman" w:hAnsi="Times New Roman" w:cs="Times New Roman"/>
          <w:b/>
        </w:rPr>
        <w:t xml:space="preserve"> –zgodnie z projektem </w:t>
      </w:r>
      <w:r w:rsidR="00970905" w:rsidRPr="00C7634F">
        <w:rPr>
          <w:rFonts w:ascii="Times New Roman" w:eastAsia="Calibri" w:hAnsi="Times New Roman" w:cs="Times New Roman"/>
          <w:b/>
        </w:rPr>
        <w:t>przy</w:t>
      </w:r>
      <w:r w:rsidRPr="00C7634F">
        <w:rPr>
          <w:rFonts w:ascii="Times New Roman" w:eastAsia="Calibri" w:hAnsi="Times New Roman" w:cs="Times New Roman"/>
          <w:b/>
        </w:rPr>
        <w:t xml:space="preserve"> lokalu położonego w Osieku przy ul. Świętej Katarzyny </w:t>
      </w:r>
      <w:bookmarkStart w:id="1" w:name="_Hlk499284268"/>
      <w:r w:rsidRPr="00C7634F">
        <w:rPr>
          <w:rFonts w:ascii="Times New Roman" w:eastAsia="Calibri" w:hAnsi="Times New Roman" w:cs="Times New Roman"/>
          <w:b/>
        </w:rPr>
        <w:t xml:space="preserve">30 A, 59-300 Lubin </w:t>
      </w:r>
      <w:bookmarkEnd w:id="1"/>
      <w:r w:rsidRPr="00C7634F">
        <w:rPr>
          <w:rFonts w:ascii="Times New Roman" w:eastAsia="Calibri" w:hAnsi="Times New Roman" w:cs="Times New Roman"/>
          <w:b/>
        </w:rPr>
        <w:t xml:space="preserve">do potrzeb organizacji opieki nad dziećmi do lat 3 - prowadzenia żłobka </w:t>
      </w:r>
      <w:r w:rsidRPr="00C7634F">
        <w:rPr>
          <w:rFonts w:ascii="Times New Roman" w:hAnsi="Times New Roman" w:cs="Times New Roman"/>
          <w:b/>
        </w:rPr>
        <w:t>Biała Żyrafa w Osieku</w:t>
      </w:r>
      <w:r w:rsidRPr="00C7634F">
        <w:rPr>
          <w:rFonts w:ascii="Times New Roman" w:eastAsia="Calibri" w:hAnsi="Times New Roman" w:cs="Times New Roman"/>
          <w:b/>
        </w:rPr>
        <w:t xml:space="preserve">. </w:t>
      </w:r>
    </w:p>
    <w:p w:rsidR="00DC2A7B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A80F2F" w:rsidRDefault="00DC2A7B" w:rsidP="00A80F2F">
      <w:pPr>
        <w:pStyle w:val="Standard"/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</w:rPr>
      </w:pPr>
      <w:r w:rsidRPr="003543A9">
        <w:rPr>
          <w:rFonts w:ascii="Times New Roman" w:eastAsia="Calibri" w:hAnsi="Times New Roman" w:cs="Times New Roman"/>
          <w:b/>
        </w:rPr>
        <w:t>Szczegółowy przedmiot zamówienia obejmuje</w:t>
      </w:r>
      <w:r w:rsidR="00BD7AF8" w:rsidRPr="003543A9">
        <w:rPr>
          <w:rFonts w:ascii="Times New Roman" w:eastAsia="Calibri" w:hAnsi="Times New Roman" w:cs="Times New Roman"/>
          <w:b/>
        </w:rPr>
        <w:t xml:space="preserve"> </w:t>
      </w:r>
      <w:r w:rsidRPr="003543A9">
        <w:rPr>
          <w:rFonts w:ascii="Times New Roman" w:eastAsia="Calibri" w:hAnsi="Times New Roman" w:cs="Times New Roman"/>
          <w:b/>
        </w:rPr>
        <w:t>:</w:t>
      </w:r>
      <w:r w:rsidR="00A80F2F">
        <w:rPr>
          <w:rFonts w:ascii="Times New Roman" w:eastAsia="Calibri" w:hAnsi="Times New Roman" w:cs="Times New Roman"/>
          <w:b/>
        </w:rPr>
        <w:t xml:space="preserve"> </w:t>
      </w:r>
      <w:r w:rsidR="00A80F2F" w:rsidRPr="00A80F2F">
        <w:rPr>
          <w:rFonts w:ascii="Times New Roman" w:hAnsi="Times New Roman" w:cs="Times New Roman"/>
        </w:rPr>
        <w:t xml:space="preserve">Niwelacja terenu roboty </w:t>
      </w:r>
      <w:r w:rsidR="00A80F2F">
        <w:rPr>
          <w:rFonts w:ascii="Times New Roman" w:hAnsi="Times New Roman" w:cs="Times New Roman"/>
        </w:rPr>
        <w:t>ziemne</w:t>
      </w:r>
      <w:r w:rsidR="00F13735">
        <w:rPr>
          <w:rFonts w:ascii="Times New Roman" w:hAnsi="Times New Roman" w:cs="Times New Roman"/>
        </w:rPr>
        <w:t xml:space="preserve"> i transportowe.</w:t>
      </w:r>
      <w:bookmarkStart w:id="2" w:name="_GoBack"/>
      <w:bookmarkEnd w:id="2"/>
    </w:p>
    <w:p w:rsidR="00DC2A7B" w:rsidRPr="003A5AF0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A5AF0">
        <w:rPr>
          <w:rFonts w:ascii="Times New Roman" w:eastAsia="Calibri" w:hAnsi="Times New Roman" w:cs="Times New Roman"/>
          <w:b/>
          <w:i w:val="0"/>
          <w:color w:val="auto"/>
          <w:sz w:val="22"/>
          <w:szCs w:val="22"/>
        </w:rPr>
        <w:t>4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.3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Miejsce realizacji prac remontowo-adaptacyjnych</w:t>
      </w:r>
      <w:r w:rsidRPr="003A5AF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7548FB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  <w:b/>
        </w:rPr>
        <w:t xml:space="preserve"> </w:t>
      </w:r>
      <w:r w:rsidR="005754EB" w:rsidRPr="00724221">
        <w:rPr>
          <w:rFonts w:ascii="Times New Roman" w:eastAsia="Calibri" w:hAnsi="Times New Roman" w:cs="Times New Roman"/>
          <w:b/>
        </w:rPr>
        <w:t>12.12.2017</w:t>
      </w:r>
      <w:r w:rsidR="00E34A5E">
        <w:rPr>
          <w:rFonts w:ascii="Times New Roman" w:eastAsia="Calibri" w:hAnsi="Times New Roman" w:cs="Times New Roman"/>
          <w:b/>
        </w:rPr>
        <w:t>r</w:t>
      </w:r>
      <w:r w:rsidR="005B1722">
        <w:rPr>
          <w:rFonts w:ascii="Times New Roman" w:eastAsia="Calibri" w:hAnsi="Times New Roman" w:cs="Times New Roman"/>
          <w:b/>
        </w:rPr>
        <w:t xml:space="preserve"> , 20 dni roboczych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razie wystąpienia istotnej zmiany okoliczności powodującej, że wykonanie umowy nie leży w interesie Zamawiającego, czego nie można było przewidzieć w chwili zawarcia umowy, 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724221" w:rsidRPr="00724221">
        <w:rPr>
          <w:rFonts w:ascii="Times New Roman" w:eastAsia="Calibri" w:hAnsi="Times New Roman" w:cs="Times New Roman"/>
        </w:rPr>
        <w:t>3</w:t>
      </w:r>
      <w:r w:rsidR="00970905" w:rsidRPr="00724221">
        <w:rPr>
          <w:rFonts w:ascii="Times New Roman" w:eastAsia="Calibri" w:hAnsi="Times New Roman" w:cs="Times New Roman"/>
        </w:rPr>
        <w:t>0</w:t>
      </w:r>
      <w:r w:rsidRPr="00724221"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dnia </w:t>
      </w:r>
      <w:r w:rsidR="00C7634F">
        <w:rPr>
          <w:rFonts w:ascii="Times New Roman" w:eastAsia="Calibri" w:hAnsi="Times New Roman" w:cs="Times New Roman"/>
        </w:rPr>
        <w:t>2</w:t>
      </w:r>
      <w:r w:rsidR="00724221" w:rsidRPr="00724221">
        <w:rPr>
          <w:rFonts w:ascii="Times New Roman" w:eastAsia="Calibri" w:hAnsi="Times New Roman" w:cs="Times New Roman"/>
        </w:rPr>
        <w:t>9</w:t>
      </w:r>
      <w:r w:rsidR="00C7634F">
        <w:rPr>
          <w:rFonts w:ascii="Times New Roman" w:eastAsia="Calibri" w:hAnsi="Times New Roman" w:cs="Times New Roman"/>
        </w:rPr>
        <w:t>.09</w:t>
      </w:r>
      <w:r w:rsidR="005754EB" w:rsidRPr="00724221">
        <w:rPr>
          <w:rFonts w:ascii="Times New Roman" w:eastAsia="Calibri" w:hAnsi="Times New Roman" w:cs="Times New Roman"/>
        </w:rPr>
        <w:t>.2017</w:t>
      </w:r>
      <w:r w:rsidRPr="00724221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8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3A5AF0" w:rsidRDefault="00DC2A7B" w:rsidP="00DC2A7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9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3543A9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8C58E6" w:rsidRPr="003543A9" w:rsidRDefault="00DC2A7B" w:rsidP="003543A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sectPr w:rsidR="008C58E6" w:rsidRPr="003543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4E" w:rsidRDefault="0012044E" w:rsidP="003543A9">
      <w:pPr>
        <w:spacing w:after="0" w:line="240" w:lineRule="auto"/>
      </w:pPr>
      <w:r>
        <w:separator/>
      </w:r>
    </w:p>
  </w:endnote>
  <w:endnote w:type="continuationSeparator" w:id="0">
    <w:p w:rsidR="0012044E" w:rsidRDefault="0012044E" w:rsidP="0035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444480"/>
      <w:docPartObj>
        <w:docPartGallery w:val="Page Numbers (Bottom of Page)"/>
        <w:docPartUnique/>
      </w:docPartObj>
    </w:sdtPr>
    <w:sdtEndPr/>
    <w:sdtContent>
      <w:p w:rsidR="003543A9" w:rsidRDefault="003543A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77">
          <w:rPr>
            <w:noProof/>
          </w:rPr>
          <w:t>4</w:t>
        </w:r>
        <w:r>
          <w:fldChar w:fldCharType="end"/>
        </w:r>
      </w:p>
    </w:sdtContent>
  </w:sdt>
  <w:p w:rsidR="003543A9" w:rsidRDefault="0035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4E" w:rsidRDefault="0012044E" w:rsidP="003543A9">
      <w:pPr>
        <w:spacing w:after="0" w:line="240" w:lineRule="auto"/>
      </w:pPr>
      <w:r>
        <w:separator/>
      </w:r>
    </w:p>
  </w:footnote>
  <w:footnote w:type="continuationSeparator" w:id="0">
    <w:p w:rsidR="0012044E" w:rsidRDefault="0012044E" w:rsidP="0035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7B"/>
    <w:rsid w:val="000A0B38"/>
    <w:rsid w:val="000C717E"/>
    <w:rsid w:val="0012044E"/>
    <w:rsid w:val="001272E9"/>
    <w:rsid w:val="00133241"/>
    <w:rsid w:val="00161597"/>
    <w:rsid w:val="002A51E3"/>
    <w:rsid w:val="003543A9"/>
    <w:rsid w:val="003E052D"/>
    <w:rsid w:val="004B78A4"/>
    <w:rsid w:val="00543477"/>
    <w:rsid w:val="005754EB"/>
    <w:rsid w:val="005B1722"/>
    <w:rsid w:val="00724221"/>
    <w:rsid w:val="007B7D99"/>
    <w:rsid w:val="00882A89"/>
    <w:rsid w:val="00921E47"/>
    <w:rsid w:val="00970905"/>
    <w:rsid w:val="00A039B1"/>
    <w:rsid w:val="00A80F2F"/>
    <w:rsid w:val="00BD7AF8"/>
    <w:rsid w:val="00C7634F"/>
    <w:rsid w:val="00D813DC"/>
    <w:rsid w:val="00DA45F4"/>
    <w:rsid w:val="00DC2A7B"/>
    <w:rsid w:val="00E34A5E"/>
    <w:rsid w:val="00F13735"/>
    <w:rsid w:val="00F603EC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5AF"/>
  <w15:docId w15:val="{3CC9C90C-552F-42D0-AE3C-0730A86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3A9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3A9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9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.europae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korzews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dzim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D225-52E7-4795-BD37-ECABC15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Borys</cp:lastModifiedBy>
  <cp:revision>5</cp:revision>
  <cp:lastPrinted>2018-01-22T10:36:00Z</cp:lastPrinted>
  <dcterms:created xsi:type="dcterms:W3CDTF">2018-01-22T14:48:00Z</dcterms:created>
  <dcterms:modified xsi:type="dcterms:W3CDTF">2018-02-07T11:20:00Z</dcterms:modified>
</cp:coreProperties>
</file>